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spacing w:before="240" w:beforeAutospacing="0" w:after="60" w:afterAutospacing="0" w:line="360" w:lineRule="auto"/>
        <w:jc w:val="center"/>
        <w:outlineLvl w:val="1"/>
        <w:rPr>
          <w:rFonts w:hint="default" w:ascii="Times New Roman" w:hAnsi="Times New Roman" w:eastAsia="宋体" w:cs="Times New Roman"/>
          <w:b w:val="0"/>
          <w:bCs w:val="0"/>
          <w:sz w:val="44"/>
          <w:szCs w:val="44"/>
          <w:lang w:val="en-US" w:eastAsia="zh-CN"/>
        </w:rPr>
      </w:pPr>
      <w:r>
        <w:rPr>
          <w:rFonts w:hint="default" w:ascii="Times New Roman" w:hAnsi="Times New Roman" w:eastAsia="宋体" w:cs="Times New Roman"/>
          <w:b w:val="0"/>
          <w:bCs w:val="0"/>
          <w:sz w:val="44"/>
          <w:szCs w:val="44"/>
        </w:rPr>
        <w:drawing>
          <wp:anchor distT="0" distB="0" distL="114300" distR="114300" simplePos="0" relativeHeight="251659264" behindDoc="0" locked="0" layoutInCell="1" allowOverlap="1">
            <wp:simplePos x="0" y="0"/>
            <wp:positionH relativeFrom="page">
              <wp:posOffset>11328400</wp:posOffset>
            </wp:positionH>
            <wp:positionV relativeFrom="topMargin">
              <wp:posOffset>12306300</wp:posOffset>
            </wp:positionV>
            <wp:extent cx="406400" cy="317500"/>
            <wp:effectExtent l="0" t="0" r="12700" b="635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06400" cy="317500"/>
                    </a:xfrm>
                    <a:prstGeom prst="rect">
                      <a:avLst/>
                    </a:prstGeom>
                  </pic:spPr>
                </pic:pic>
              </a:graphicData>
            </a:graphic>
          </wp:anchor>
        </w:drawing>
      </w:r>
      <w:r>
        <w:rPr>
          <w:rFonts w:hint="default" w:ascii="Times New Roman" w:hAnsi="Times New Roman" w:eastAsia="宋体" w:cs="Times New Roman"/>
          <w:b w:val="0"/>
          <w:bCs w:val="0"/>
          <w:sz w:val="44"/>
          <w:szCs w:val="44"/>
        </w:rPr>
        <w:t>专题</w:t>
      </w:r>
      <w:r>
        <w:rPr>
          <w:rFonts w:hint="eastAsia" w:cs="Times New Roman"/>
          <w:b w:val="0"/>
          <w:bCs w:val="0"/>
          <w:sz w:val="44"/>
          <w:szCs w:val="44"/>
          <w:lang w:val="en-US" w:eastAsia="zh-CN"/>
        </w:rPr>
        <w:t>18</w:t>
      </w:r>
      <w:r>
        <w:rPr>
          <w:rFonts w:hint="default" w:ascii="Times New Roman" w:hAnsi="Times New Roman" w:eastAsia="宋体" w:cs="Times New Roman"/>
          <w:b w:val="0"/>
          <w:bCs w:val="0"/>
          <w:sz w:val="44"/>
          <w:szCs w:val="44"/>
        </w:rPr>
        <w:t xml:space="preserve"> </w:t>
      </w:r>
      <w:r>
        <w:rPr>
          <w:rFonts w:hint="eastAsia" w:cs="Times New Roman"/>
          <w:b w:val="0"/>
          <w:bCs w:val="0"/>
          <w:sz w:val="44"/>
          <w:szCs w:val="44"/>
          <w:lang w:val="en-US" w:eastAsia="zh-CN"/>
        </w:rPr>
        <w:t>岩石圈物质循环过程综合题答题技巧</w:t>
      </w:r>
    </w:p>
    <w:p>
      <w:pPr>
        <w:pStyle w:val="6"/>
        <w:keepNext w:val="0"/>
        <w:keepLines w:val="0"/>
        <w:pageBreakBefore w:val="0"/>
        <w:widowControl w:val="0"/>
        <w:kinsoku/>
        <w:wordWrap/>
        <w:overflowPunct/>
        <w:topLinePunct w:val="0"/>
        <w:autoSpaceDE/>
        <w:autoSpaceDN/>
        <w:bidi w:val="0"/>
        <w:spacing w:line="360" w:lineRule="auto"/>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【第一部分  方法指导】</w:t>
      </w:r>
    </w:p>
    <w:p>
      <w:pPr>
        <w:pStyle w:val="17"/>
        <w:spacing w:line="360" w:lineRule="auto"/>
        <w:ind w:left="360" w:firstLine="0" w:firstLineChars="0"/>
        <w:rPr>
          <w:rFonts w:ascii="仿宋" w:hAnsi="仿宋" w:eastAsia="仿宋"/>
          <w:szCs w:val="21"/>
        </w:rPr>
      </w:pPr>
      <w:r>
        <w:rPr>
          <w:rFonts w:hint="eastAsia" w:ascii="楷体" w:hAnsi="楷体" w:eastAsia="楷体"/>
          <w:b/>
          <w:bCs/>
          <w:color w:val="00B0F0"/>
          <w:sz w:val="28"/>
          <w:szCs w:val="28"/>
        </w:rPr>
        <w:t>1.</w:t>
      </w:r>
      <w:r>
        <w:rPr>
          <w:rFonts w:ascii="楷体" w:hAnsi="楷体" w:eastAsia="楷体"/>
          <w:b/>
          <w:bCs/>
          <w:color w:val="00B0F0"/>
          <w:sz w:val="28"/>
          <w:szCs w:val="28"/>
        </w:rPr>
        <w:t xml:space="preserve"> </w:t>
      </w:r>
      <w:r>
        <w:rPr>
          <w:rFonts w:hint="eastAsia" w:ascii="楷体" w:hAnsi="楷体" w:eastAsia="楷体"/>
          <w:b/>
          <w:bCs/>
          <w:color w:val="00B0F0"/>
          <w:sz w:val="28"/>
          <w:szCs w:val="28"/>
        </w:rPr>
        <w:t>三大类岩石及其特征</w:t>
      </w:r>
    </w:p>
    <w:p>
      <w:pPr>
        <w:pStyle w:val="17"/>
        <w:spacing w:line="360" w:lineRule="auto"/>
        <w:ind w:left="360" w:firstLine="0" w:firstLineChars="0"/>
        <w:jc w:val="center"/>
        <w:rPr>
          <w:rFonts w:ascii="仿宋" w:hAnsi="仿宋" w:eastAsia="仿宋"/>
          <w:szCs w:val="21"/>
        </w:rPr>
      </w:pPr>
      <w:r>
        <w:rPr>
          <w:rFonts w:ascii="仿宋" w:hAnsi="仿宋" w:eastAsia="仿宋"/>
          <w:szCs w:val="21"/>
        </w:rPr>
        <w:drawing>
          <wp:inline distT="0" distB="0" distL="114300" distR="114300">
            <wp:extent cx="4700905" cy="2431415"/>
            <wp:effectExtent l="0" t="0" r="1079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700905" cy="2431415"/>
                    </a:xfrm>
                    <a:prstGeom prst="rect">
                      <a:avLst/>
                    </a:prstGeom>
                    <a:noFill/>
                    <a:ln>
                      <a:noFill/>
                    </a:ln>
                  </pic:spPr>
                </pic:pic>
              </a:graphicData>
            </a:graphic>
          </wp:inline>
        </w:drawing>
      </w:r>
    </w:p>
    <w:p>
      <w:pPr>
        <w:spacing w:line="360" w:lineRule="auto"/>
        <w:jc w:val="center"/>
        <w:rPr>
          <w:rFonts w:ascii="仿宋" w:hAnsi="仿宋" w:eastAsia="仿宋"/>
          <w:szCs w:val="21"/>
        </w:rPr>
      </w:pPr>
      <w:r>
        <w:rPr>
          <w:rFonts w:ascii="仿宋" w:hAnsi="仿宋" w:eastAsia="仿宋"/>
          <w:szCs w:val="21"/>
        </w:rPr>
        <w:drawing>
          <wp:inline distT="0" distB="0" distL="114300" distR="114300">
            <wp:extent cx="4681855" cy="1843405"/>
            <wp:effectExtent l="0" t="0" r="444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4681855" cy="1843405"/>
                    </a:xfrm>
                    <a:prstGeom prst="rect">
                      <a:avLst/>
                    </a:prstGeom>
                    <a:noFill/>
                    <a:ln>
                      <a:noFill/>
                    </a:ln>
                  </pic:spPr>
                </pic:pic>
              </a:graphicData>
            </a:graphic>
          </wp:inline>
        </w:drawing>
      </w:r>
    </w:p>
    <w:p>
      <w:pPr>
        <w:pStyle w:val="17"/>
        <w:spacing w:line="360" w:lineRule="auto"/>
        <w:ind w:left="360" w:firstLine="0" w:firstLineChars="0"/>
        <w:rPr>
          <w:rFonts w:ascii="楷体" w:hAnsi="楷体" w:eastAsia="楷体"/>
          <w:b/>
          <w:bCs/>
          <w:color w:val="00B0F0"/>
          <w:sz w:val="28"/>
          <w:szCs w:val="28"/>
        </w:rPr>
      </w:pPr>
      <w:r>
        <w:rPr>
          <w:rFonts w:ascii="楷体" w:hAnsi="楷体" w:eastAsia="楷体"/>
          <w:b/>
          <w:bCs/>
          <w:color w:val="00B0F0"/>
          <w:sz w:val="28"/>
          <w:szCs w:val="28"/>
        </w:rPr>
        <w:t>2．</w:t>
      </w:r>
      <w:r>
        <w:rPr>
          <w:rFonts w:hint="eastAsia" w:ascii="楷体" w:hAnsi="楷体" w:eastAsia="楷体"/>
          <w:b/>
          <w:bCs/>
          <w:color w:val="00B0F0"/>
          <w:sz w:val="28"/>
          <w:szCs w:val="28"/>
        </w:rPr>
        <w:t>岩石圈的物质循环过程</w:t>
      </w:r>
    </w:p>
    <w:p>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岩石按成因分为岩浆岩、变质岩、沉积岩三大类,岩石圈的物质在内、外力作用下不断运动和变化,从岩浆到形成各种岩石,又到新岩浆的形成,周而复始。构成岩石圈的物质循环过程,如下图所示:</w:t>
      </w:r>
    </w:p>
    <w:p>
      <w:pPr>
        <w:spacing w:line="360" w:lineRule="auto"/>
        <w:jc w:val="center"/>
        <w:rPr>
          <w:rFonts w:ascii="仿宋" w:hAnsi="仿宋" w:eastAsia="仿宋"/>
          <w:szCs w:val="21"/>
        </w:rPr>
      </w:pPr>
      <w:r>
        <w:rPr>
          <w:rFonts w:ascii="仿宋" w:hAnsi="仿宋" w:eastAsia="仿宋"/>
          <w:szCs w:val="21"/>
        </w:rPr>
        <w:drawing>
          <wp:inline distT="0" distB="0" distL="114300" distR="114300">
            <wp:extent cx="4570730" cy="2553335"/>
            <wp:effectExtent l="0" t="0" r="1270"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570730" cy="2553335"/>
                    </a:xfrm>
                    <a:prstGeom prst="rect">
                      <a:avLst/>
                    </a:prstGeom>
                    <a:noFill/>
                    <a:ln>
                      <a:noFill/>
                    </a:ln>
                  </pic:spPr>
                </pic:pic>
              </a:graphicData>
            </a:graphic>
          </wp:inline>
        </w:drawing>
      </w:r>
    </w:p>
    <w:p>
      <w:pPr>
        <w:pStyle w:val="17"/>
        <w:spacing w:line="360" w:lineRule="auto"/>
        <w:ind w:firstLineChars="0"/>
        <w:rPr>
          <w:rFonts w:ascii="楷体" w:hAnsi="楷体" w:eastAsia="楷体"/>
          <w:b/>
          <w:bCs/>
          <w:color w:val="00B0F0"/>
          <w:sz w:val="28"/>
          <w:szCs w:val="28"/>
        </w:rPr>
      </w:pPr>
      <w:r>
        <w:rPr>
          <w:rFonts w:hint="eastAsia" w:ascii="楷体" w:hAnsi="楷体" w:eastAsia="楷体"/>
          <w:b/>
          <w:bCs/>
          <w:color w:val="00B0F0"/>
          <w:sz w:val="28"/>
          <w:szCs w:val="28"/>
        </w:rPr>
        <w:t>3． 岩石圈物质循环简化示意图及其判读方法</w:t>
      </w:r>
    </w:p>
    <w:p>
      <w:pPr>
        <w:spacing w:line="360" w:lineRule="auto"/>
        <w:jc w:val="center"/>
        <w:rPr>
          <w:rFonts w:ascii="仿宋" w:hAnsi="仿宋" w:eastAsia="仿宋"/>
          <w:szCs w:val="21"/>
        </w:rPr>
      </w:pPr>
      <w:r>
        <w:rPr>
          <w:rFonts w:ascii="仿宋" w:hAnsi="仿宋" w:eastAsia="仿宋"/>
          <w:szCs w:val="21"/>
        </w:rPr>
        <w:drawing>
          <wp:inline distT="0" distB="0" distL="114300" distR="114300">
            <wp:extent cx="3477895" cy="2517140"/>
            <wp:effectExtent l="0" t="0" r="190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3477895" cy="2517140"/>
                    </a:xfrm>
                    <a:prstGeom prst="rect">
                      <a:avLst/>
                    </a:prstGeom>
                    <a:noFill/>
                    <a:ln>
                      <a:noFill/>
                    </a:ln>
                  </pic:spPr>
                </pic:pic>
              </a:graphicData>
            </a:graphic>
          </wp:inline>
        </w:drawing>
      </w:r>
    </w:p>
    <w:p>
      <w:pPr>
        <w:spacing w:line="360" w:lineRule="auto"/>
        <w:ind w:firstLine="210" w:firstLineChars="1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(1)关键是判断岩浆与岩浆岩。岩浆岩只能由岩浆冷却、凝固而成,即只有一个箭头指向的就是岩浆岩。</w:t>
      </w:r>
    </w:p>
    <w:p>
      <w:pPr>
        <w:spacing w:line="360" w:lineRule="auto"/>
        <w:ind w:firstLine="210" w:firstLineChars="1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(2)岩浆是岩石转化的“起点”,也是三类岩石的“归宿”,即有三个箭头指向它。</w:t>
      </w:r>
    </w:p>
    <w:p>
      <w:pPr>
        <w:spacing w:line="360" w:lineRule="auto"/>
        <w:ind w:firstLine="210" w:firstLineChars="100"/>
        <w:rPr>
          <w:rFonts w:hint="default" w:ascii="楷体" w:hAnsi="楷体" w:eastAsia="楷体"/>
          <w:b/>
          <w:bCs/>
          <w:color w:val="00B0F0"/>
          <w:sz w:val="28"/>
          <w:szCs w:val="28"/>
          <w:lang w:val="en-US" w:eastAsia="zh-CN"/>
        </w:rPr>
      </w:pPr>
      <w:r>
        <w:rPr>
          <w:rFonts w:hint="eastAsia" w:asciiTheme="minorEastAsia" w:hAnsiTheme="minorEastAsia" w:eastAsiaTheme="minorEastAsia" w:cstheme="minorEastAsia"/>
          <w:szCs w:val="21"/>
        </w:rPr>
        <w:t>(3)三大类岩石均可经外力作用形成沉积岩,经变质作用形成变质岩,经熔化形成岩浆。</w:t>
      </w:r>
    </w:p>
    <w:p>
      <w:pPr>
        <w:shd w:val="clear" w:color="auto" w:fill="F1F1F1" w:themeFill="background1" w:themeFillShade="F2"/>
        <w:spacing w:line="360" w:lineRule="auto"/>
        <w:jc w:val="left"/>
        <w:rPr>
          <w:rFonts w:hint="eastAsia" w:cs="Times New Roman"/>
          <w:color w:val="FF0000"/>
          <w:szCs w:val="22"/>
          <w:lang w:val="en-US" w:eastAsia="zh-CN"/>
        </w:rPr>
      </w:pPr>
      <w:r>
        <w:rPr>
          <w:rFonts w:hint="eastAsia" w:cs="Times New Roman"/>
          <w:color w:val="FF0000"/>
          <w:szCs w:val="22"/>
          <w:lang w:val="en-US" w:eastAsia="zh-CN"/>
        </w:rPr>
        <w:t>例题1</w:t>
      </w:r>
    </w:p>
    <w:p>
      <w:pPr>
        <w:shd w:val="clear" w:color="auto" w:fill="F1F1F1" w:themeFill="background1" w:themeFillShade="F2"/>
        <w:spacing w:line="360" w:lineRule="auto"/>
        <w:jc w:val="left"/>
        <w:rPr>
          <w:szCs w:val="22"/>
        </w:rPr>
      </w:pPr>
      <w:r>
        <w:rPr>
          <w:color w:val="FF0000"/>
          <w:szCs w:val="22"/>
        </w:rPr>
        <w:t>（2020·全国·统考高考真题）</w:t>
      </w:r>
      <w:r>
        <w:rPr>
          <w:szCs w:val="22"/>
        </w:rPr>
        <w:t>阅读图文材料，完成下列要求。</w:t>
      </w:r>
    </w:p>
    <w:p>
      <w:pPr>
        <w:shd w:val="clear" w:color="auto" w:fill="F1F1F1" w:themeFill="background1" w:themeFillShade="F2"/>
        <w:spacing w:line="360" w:lineRule="auto"/>
        <w:ind w:firstLine="420"/>
        <w:jc w:val="left"/>
        <w:rPr>
          <w:rFonts w:ascii="楷体" w:hAnsi="楷体" w:eastAsia="楷体" w:cs="楷体"/>
          <w:szCs w:val="22"/>
        </w:rPr>
      </w:pPr>
      <w:r>
        <w:rPr>
          <w:rFonts w:ascii="楷体" w:hAnsi="楷体" w:eastAsia="楷体" w:cs="楷体"/>
          <w:szCs w:val="22"/>
        </w:rPr>
        <w:t>研究表明，金沙江流域金矿较多，多呈带状分布并与断裂的空间分布一致。金沙江因河中有大量沙金（河床沉积物中的金）而得名。下图示意金沙江云南段。</w:t>
      </w:r>
    </w:p>
    <w:p>
      <w:pPr>
        <w:shd w:val="clear" w:color="auto" w:fill="F1F1F1" w:themeFill="background1" w:themeFillShade="F2"/>
        <w:spacing w:line="360" w:lineRule="auto"/>
        <w:jc w:val="left"/>
        <w:rPr>
          <w:szCs w:val="22"/>
        </w:rPr>
      </w:pPr>
      <w:r>
        <w:rPr>
          <w:szCs w:val="22"/>
        </w:rPr>
        <w:drawing>
          <wp:inline distT="0" distB="0" distL="114300" distR="114300">
            <wp:extent cx="4857750" cy="3000375"/>
            <wp:effectExtent l="0" t="0" r="635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857750" cy="3000375"/>
                    </a:xfrm>
                    <a:prstGeom prst="rect">
                      <a:avLst/>
                    </a:prstGeom>
                  </pic:spPr>
                </pic:pic>
              </a:graphicData>
            </a:graphic>
          </wp:inline>
        </w:drawing>
      </w:r>
    </w:p>
    <w:p>
      <w:pPr>
        <w:shd w:val="clear" w:color="auto" w:fill="F1F1F1" w:themeFill="background1" w:themeFillShade="F2"/>
        <w:spacing w:line="360" w:lineRule="auto"/>
        <w:jc w:val="left"/>
        <w:rPr>
          <w:szCs w:val="22"/>
        </w:rPr>
      </w:pPr>
      <w:r>
        <w:rPr>
          <w:szCs w:val="22"/>
        </w:rPr>
        <w:t>（</w:t>
      </w:r>
      <w:r>
        <w:rPr>
          <w:rFonts w:hint="eastAsia"/>
          <w:szCs w:val="22"/>
          <w:lang w:val="en-US" w:eastAsia="zh-CN"/>
        </w:rPr>
        <w:t>1</w:t>
      </w:r>
      <w:r>
        <w:rPr>
          <w:szCs w:val="22"/>
        </w:rPr>
        <w:t>）说明图示区域金矿石出露较多的原因。</w:t>
      </w:r>
    </w:p>
    <w:p>
      <w:pPr>
        <w:shd w:val="clear" w:color="auto" w:fill="F1F1F1" w:themeFill="background1" w:themeFillShade="F2"/>
        <w:spacing w:line="360" w:lineRule="auto"/>
        <w:jc w:val="left"/>
        <w:rPr>
          <w:szCs w:val="22"/>
        </w:rPr>
      </w:pPr>
      <w:r>
        <w:rPr>
          <w:szCs w:val="22"/>
        </w:rPr>
        <w:t>（</w:t>
      </w:r>
      <w:r>
        <w:rPr>
          <w:rFonts w:hint="eastAsia"/>
          <w:szCs w:val="22"/>
          <w:lang w:val="en-US" w:eastAsia="zh-CN"/>
        </w:rPr>
        <w:t>2</w:t>
      </w:r>
      <w:r>
        <w:rPr>
          <w:szCs w:val="22"/>
        </w:rPr>
        <w:t>）说明出露的金矿石转变成金沙江中沙金的地质作用过程。</w:t>
      </w:r>
    </w:p>
    <w:p>
      <w:pPr>
        <w:shd w:val="clear" w:color="auto" w:fill="F2F2F2"/>
        <w:spacing w:line="360" w:lineRule="auto"/>
        <w:jc w:val="left"/>
        <w:rPr>
          <w:szCs w:val="22"/>
        </w:rPr>
      </w:pPr>
      <w:r>
        <w:rPr>
          <w:color w:val="0070C0"/>
          <w:szCs w:val="22"/>
        </w:rPr>
        <w:t>【答案】</w:t>
      </w:r>
    </w:p>
    <w:p>
      <w:pPr>
        <w:shd w:val="clear" w:color="auto" w:fill="F2F2F2"/>
        <w:spacing w:line="360" w:lineRule="auto"/>
        <w:jc w:val="left"/>
        <w:rPr>
          <w:szCs w:val="22"/>
        </w:rPr>
      </w:pPr>
      <w:r>
        <w:rPr>
          <w:szCs w:val="22"/>
        </w:rPr>
        <w:t>（</w:t>
      </w:r>
      <w:r>
        <w:rPr>
          <w:rFonts w:hint="eastAsia"/>
          <w:szCs w:val="22"/>
          <w:lang w:val="en-US" w:eastAsia="zh-CN"/>
        </w:rPr>
        <w:t>1</w:t>
      </w:r>
      <w:r>
        <w:rPr>
          <w:szCs w:val="22"/>
        </w:rPr>
        <w:t>）金矿与断裂空间分布一致。图示区域山高谷深(地壳抬升，河流深切)，河谷出露的岩层较多，金矿石出露的概率增大；河流较多，金矿石出露的空间范围增大。</w:t>
      </w:r>
    </w:p>
    <w:p>
      <w:pPr>
        <w:shd w:val="clear" w:color="auto" w:fill="F2F2F2"/>
        <w:spacing w:line="360" w:lineRule="auto"/>
        <w:jc w:val="left"/>
        <w:rPr>
          <w:szCs w:val="22"/>
        </w:rPr>
      </w:pPr>
      <w:r>
        <w:rPr>
          <w:szCs w:val="22"/>
        </w:rPr>
        <w:t>（</w:t>
      </w:r>
      <w:r>
        <w:rPr>
          <w:rFonts w:hint="eastAsia"/>
          <w:szCs w:val="22"/>
          <w:lang w:val="en-US" w:eastAsia="zh-CN"/>
        </w:rPr>
        <w:t>2</w:t>
      </w:r>
      <w:r>
        <w:rPr>
          <w:szCs w:val="22"/>
        </w:rPr>
        <w:t>）金沙江及其支流两岸出露的金矿石，在外力作用下风化，或崩塌、破碎，随流水进入金沙江。金沙江比降大，水流急，搬运能力强，磨蚀矿石，使矿石进一步破碎。当河流流速减小时，河水挟带的金在河床不断沉积、富集，形成沙金。</w:t>
      </w:r>
    </w:p>
    <w:p>
      <w:pPr>
        <w:shd w:val="clear" w:color="auto" w:fill="F2F2F2"/>
        <w:spacing w:line="360" w:lineRule="auto"/>
        <w:jc w:val="left"/>
        <w:rPr>
          <w:color w:val="0070C0"/>
          <w:szCs w:val="22"/>
        </w:rPr>
      </w:pPr>
      <w:r>
        <w:rPr>
          <w:color w:val="0070C0"/>
          <w:szCs w:val="22"/>
        </w:rPr>
        <w:t>【详解】</w:t>
      </w:r>
    </w:p>
    <w:p>
      <w:pPr>
        <w:shd w:val="clear" w:color="auto" w:fill="F2F2F2"/>
        <w:spacing w:line="360" w:lineRule="auto"/>
        <w:jc w:val="left"/>
        <w:rPr>
          <w:szCs w:val="22"/>
        </w:rPr>
      </w:pPr>
      <w:r>
        <w:rPr>
          <w:szCs w:val="22"/>
        </w:rPr>
        <w:t>（</w:t>
      </w:r>
      <w:r>
        <w:rPr>
          <w:rFonts w:hint="eastAsia"/>
          <w:szCs w:val="22"/>
          <w:lang w:val="en-US" w:eastAsia="zh-CN"/>
        </w:rPr>
        <w:t>1</w:t>
      </w:r>
      <w:r>
        <w:rPr>
          <w:szCs w:val="22"/>
        </w:rPr>
        <w:t>）读材料 “金沙江流域金矿较多，多呈带状分布并与断裂的空间分布一致”可知，断裂空间分布处金矿石出露较多，图示区域受地壳抬升，河流深切影响，形成山高谷深的地貌形态，河谷出露的岩层较多，多沿断裂分布，故金矿石出露几率较大；且图示地区山河相间，纵列分布，河流众多，使金矿石可出露的空间范围较大。</w:t>
      </w:r>
    </w:p>
    <w:p>
      <w:pPr>
        <w:shd w:val="clear" w:color="auto" w:fill="F2F2F2"/>
        <w:spacing w:line="360" w:lineRule="auto"/>
        <w:jc w:val="left"/>
        <w:rPr>
          <w:szCs w:val="22"/>
        </w:rPr>
      </w:pPr>
      <w:r>
        <w:rPr>
          <w:szCs w:val="22"/>
        </w:rPr>
        <w:t>（</w:t>
      </w:r>
      <w:r>
        <w:rPr>
          <w:rFonts w:hint="eastAsia"/>
          <w:szCs w:val="22"/>
          <w:lang w:val="en-US" w:eastAsia="zh-CN"/>
        </w:rPr>
        <w:t>2</w:t>
      </w:r>
      <w:r>
        <w:rPr>
          <w:szCs w:val="22"/>
        </w:rPr>
        <w:t>）由上题分析可知，河谷出露的岩层中金矿石出露几率较大。金沙江中沙金的形成地质作用过程，首先是河流两岸出露的金矿石，受外力作用岩石风化侵蚀破碎，矿石掉入到比降大的金沙江，随急流搬运，磨蚀矿石，使矿石进一步破碎；随后河流流速减小，搬运能力减弱，河水挟带的金将在河床不断沉积，逐渐累积而形成沙金。</w:t>
      </w:r>
    </w:p>
    <w:p>
      <w:pPr>
        <w:shd w:val="clear" w:color="auto" w:fill="F1F1F1" w:themeFill="background1" w:themeFillShade="F2"/>
        <w:spacing w:line="360" w:lineRule="auto"/>
        <w:jc w:val="left"/>
        <w:rPr>
          <w:rFonts w:hint="eastAsia" w:cs="Times New Roman"/>
          <w:color w:val="FF0000"/>
          <w:szCs w:val="22"/>
          <w:lang w:val="en-US" w:eastAsia="zh-CN"/>
        </w:rPr>
      </w:pPr>
    </w:p>
    <w:p>
      <w:pPr>
        <w:shd w:val="clear" w:color="auto" w:fill="F1F1F1" w:themeFill="background1" w:themeFillShade="F2"/>
        <w:spacing w:line="360" w:lineRule="auto"/>
        <w:jc w:val="left"/>
        <w:rPr>
          <w:rFonts w:hint="eastAsia" w:cs="Times New Roman"/>
          <w:color w:val="FF0000"/>
          <w:szCs w:val="22"/>
          <w:lang w:val="en-US" w:eastAsia="zh-CN"/>
        </w:rPr>
      </w:pPr>
    </w:p>
    <w:p>
      <w:pPr>
        <w:pStyle w:val="6"/>
        <w:keepNext w:val="0"/>
        <w:keepLines w:val="0"/>
        <w:pageBreakBefore w:val="0"/>
        <w:widowControl w:val="0"/>
        <w:kinsoku/>
        <w:wordWrap/>
        <w:overflowPunct/>
        <w:topLinePunct w:val="0"/>
        <w:autoSpaceDE/>
        <w:autoSpaceDN/>
        <w:bidi w:val="0"/>
        <w:spacing w:line="360" w:lineRule="auto"/>
        <w:ind w:firstLine="3360" w:firstLineChars="1200"/>
        <w:jc w:val="left"/>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 xml:space="preserve">【第二部分  </w:t>
      </w:r>
      <w:r>
        <w:rPr>
          <w:rFonts w:hint="eastAsia" w:ascii="Times New Roman" w:hAnsi="Times New Roman" w:cs="Times New Roman"/>
          <w:b w:val="0"/>
          <w:bCs w:val="0"/>
          <w:sz w:val="28"/>
          <w:szCs w:val="28"/>
          <w:lang w:val="en-US" w:eastAsia="zh-CN"/>
        </w:rPr>
        <w:t>变式训练</w:t>
      </w:r>
      <w:r>
        <w:rPr>
          <w:rFonts w:hint="default" w:ascii="Times New Roman" w:hAnsi="Times New Roman" w:eastAsia="宋体" w:cs="Times New Roman"/>
          <w:b w:val="0"/>
          <w:bCs w:val="0"/>
          <w:sz w:val="28"/>
          <w:szCs w:val="28"/>
        </w:rPr>
        <w:t>】</w:t>
      </w:r>
    </w:p>
    <w:p>
      <w:pPr>
        <w:shd w:val="clear" w:color="auto" w:fill="auto"/>
        <w:spacing w:line="360" w:lineRule="auto"/>
        <w:jc w:val="left"/>
        <w:rPr>
          <w:szCs w:val="22"/>
        </w:rPr>
      </w:pPr>
      <w:r>
        <w:rPr>
          <w:szCs w:val="22"/>
        </w:rPr>
        <w:t>1．</w:t>
      </w:r>
      <w:r>
        <w:rPr>
          <w:color w:val="FF0000"/>
          <w:szCs w:val="22"/>
        </w:rPr>
        <w:t>（2023·全国·模拟预测）</w:t>
      </w:r>
      <w:r>
        <w:rPr>
          <w:szCs w:val="22"/>
        </w:rPr>
        <w:t>阅读图文材料，完成下列要求。</w:t>
      </w:r>
    </w:p>
    <w:p>
      <w:pPr>
        <w:shd w:val="clear" w:color="auto" w:fill="auto"/>
        <w:spacing w:line="360" w:lineRule="auto"/>
        <w:ind w:firstLine="420"/>
        <w:jc w:val="left"/>
        <w:rPr>
          <w:rFonts w:ascii="楷体" w:hAnsi="楷体" w:eastAsia="楷体" w:cs="楷体"/>
          <w:szCs w:val="22"/>
        </w:rPr>
      </w:pPr>
      <w:r>
        <w:rPr>
          <w:rFonts w:ascii="楷体" w:hAnsi="楷体" w:eastAsia="楷体" w:cs="楷体"/>
          <w:szCs w:val="22"/>
        </w:rPr>
        <w:t>斯里兰卡，素有“宝石王国”的美称，农业、旅游业和服装纺织轻工业是其主要的经济来源。拉特纳普拉地区2000平方公里范围内是宝石的主要产地，宝石原生矿埋藏较深，但在当地古河床及河流沿岸有大量埋藏较浅的次生矿床，易于开采。随着大量开采和出口，斯里兰卡的宝石资源也大幅下降。近几年政府已经对一些河流进行阶段管制，禁止大型机械开采。因全球经济低迷，加之国内环境的不稳定等原因，斯里兰卡宝石商品出口产值不断减少，该国的经济发展也严重受损。下图为斯里兰卡示意图。</w:t>
      </w:r>
    </w:p>
    <w:p>
      <w:pPr>
        <w:shd w:val="clear" w:color="auto" w:fill="auto"/>
        <w:spacing w:line="360" w:lineRule="auto"/>
        <w:jc w:val="left"/>
        <w:rPr>
          <w:szCs w:val="22"/>
        </w:rPr>
      </w:pPr>
      <w:r>
        <w:rPr>
          <w:szCs w:val="22"/>
        </w:rPr>
        <w:drawing>
          <wp:inline distT="0" distB="0" distL="114300" distR="114300">
            <wp:extent cx="4191000" cy="3257550"/>
            <wp:effectExtent l="0" t="0" r="0" b="635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2"/>
                    <a:stretch>
                      <a:fillRect/>
                    </a:stretch>
                  </pic:blipFill>
                  <pic:spPr>
                    <a:xfrm>
                      <a:off x="0" y="0"/>
                      <a:ext cx="4191000" cy="3257550"/>
                    </a:xfrm>
                    <a:prstGeom prst="rect">
                      <a:avLst/>
                    </a:prstGeom>
                  </pic:spPr>
                </pic:pic>
              </a:graphicData>
            </a:graphic>
          </wp:inline>
        </w:drawing>
      </w:r>
    </w:p>
    <w:p>
      <w:pPr>
        <w:numPr>
          <w:ilvl w:val="0"/>
          <w:numId w:val="1"/>
        </w:numPr>
        <w:shd w:val="clear" w:color="auto" w:fill="auto"/>
        <w:spacing w:line="360" w:lineRule="auto"/>
        <w:jc w:val="left"/>
        <w:rPr>
          <w:szCs w:val="22"/>
        </w:rPr>
      </w:pPr>
      <w:r>
        <w:rPr>
          <w:szCs w:val="22"/>
        </w:rPr>
        <w:t>描述斯里兰卡主要宝石矿区的分布特征。</w:t>
      </w: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numPr>
          <w:ilvl w:val="0"/>
          <w:numId w:val="1"/>
        </w:numPr>
        <w:shd w:val="clear" w:color="auto" w:fill="auto"/>
        <w:spacing w:line="360" w:lineRule="auto"/>
        <w:ind w:left="0" w:leftChars="0" w:firstLine="0" w:firstLineChars="0"/>
        <w:jc w:val="left"/>
        <w:rPr>
          <w:szCs w:val="22"/>
        </w:rPr>
      </w:pPr>
      <w:r>
        <w:rPr>
          <w:szCs w:val="22"/>
        </w:rPr>
        <w:t>推测拉特纳普拉地区古河床及河流沿岸次生宝石矿床的形成过程。</w:t>
      </w: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shd w:val="clear" w:color="auto" w:fill="F2F2F2"/>
        <w:spacing w:line="360" w:lineRule="auto"/>
        <w:jc w:val="left"/>
        <w:rPr>
          <w:color w:val="FF0000"/>
          <w:szCs w:val="22"/>
        </w:rPr>
      </w:pPr>
      <w:r>
        <w:rPr>
          <w:color w:val="FF0000"/>
          <w:szCs w:val="22"/>
        </w:rPr>
        <w:t>【答案】(1)宝石矿区分布不均，主要集中在南部地区；中部有少量分布；多位于河流附近。</w:t>
      </w:r>
    </w:p>
    <w:p>
      <w:pPr>
        <w:shd w:val="clear" w:color="auto" w:fill="F2F2F2"/>
        <w:spacing w:line="360" w:lineRule="auto"/>
        <w:jc w:val="left"/>
        <w:rPr>
          <w:color w:val="FF0000"/>
          <w:szCs w:val="22"/>
        </w:rPr>
      </w:pPr>
      <w:r>
        <w:rPr>
          <w:color w:val="FF0000"/>
          <w:szCs w:val="22"/>
        </w:rPr>
        <w:t>(2)宝石原生矿在地壳抬升作用下出露到地表，受外力风化侵蚀，变得破碎，经河流搬运，在流速较缓的河段沉积，形成次生宝石矿床。</w:t>
      </w:r>
    </w:p>
    <w:p>
      <w:pPr>
        <w:shd w:val="clear" w:color="auto" w:fill="F2F2F2"/>
        <w:spacing w:line="360" w:lineRule="auto"/>
        <w:jc w:val="left"/>
        <w:rPr>
          <w:color w:val="FF0000"/>
          <w:szCs w:val="22"/>
        </w:rPr>
      </w:pPr>
    </w:p>
    <w:p>
      <w:pPr>
        <w:shd w:val="clear" w:color="auto" w:fill="F2F2F2"/>
        <w:spacing w:line="360" w:lineRule="auto"/>
        <w:jc w:val="left"/>
        <w:rPr>
          <w:color w:val="FF0000"/>
          <w:szCs w:val="22"/>
        </w:rPr>
      </w:pPr>
      <w:r>
        <w:rPr>
          <w:color w:val="FF0000"/>
          <w:szCs w:val="22"/>
        </w:rPr>
        <w:t>【分析】本题以斯里兰卡的宝石产业为背景区域，考查矿石的形成过程，控制资源开采的目的，工业发展的不利条件等相关知识，意在考查学生的材料分析和解读能力，有效信息的提取和应用能力。</w:t>
      </w:r>
    </w:p>
    <w:p>
      <w:pPr>
        <w:shd w:val="clear" w:color="auto" w:fill="F2F2F2"/>
        <w:spacing w:line="360" w:lineRule="auto"/>
        <w:jc w:val="left"/>
        <w:rPr>
          <w:color w:val="FF0000"/>
          <w:szCs w:val="22"/>
        </w:rPr>
      </w:pPr>
      <w:r>
        <w:rPr>
          <w:color w:val="FF0000"/>
          <w:szCs w:val="22"/>
        </w:rPr>
        <w:t>【详解】（1）根据材料可知，拉特纳普拉地区2000平方公里范围内是宝石的主要产地，拉特纳普拉位于斯里兰卡的南部。从图中可以看出，宝石矿区分布不均，主要集中在南部地区，北部地区几乎没有，中部地区有少量分布；从矿区和河流的位置关系看，矿区多位于河流附近。</w:t>
      </w:r>
    </w:p>
    <w:p>
      <w:pPr>
        <w:shd w:val="clear" w:color="auto" w:fill="F2F2F2"/>
        <w:spacing w:line="360" w:lineRule="auto"/>
        <w:jc w:val="left"/>
        <w:rPr>
          <w:color w:val="FF0000"/>
          <w:szCs w:val="22"/>
        </w:rPr>
      </w:pPr>
      <w:r>
        <w:rPr>
          <w:color w:val="FF0000"/>
          <w:szCs w:val="22"/>
        </w:rPr>
        <w:t>（2）宝石原生矿埋藏较深，但在当地古河床及河流沿岸有大量埋藏较浅的次生矿床，说明宝石原生矿在地壳抬升作用下出露到地表，受外力风化侵蚀，变得破碎，经河流搬运，在流速较缓的河段沉积，形成次生宝石矿床。</w:t>
      </w:r>
    </w:p>
    <w:p>
      <w:pPr>
        <w:shd w:val="clear" w:color="auto" w:fill="auto"/>
        <w:spacing w:line="360" w:lineRule="auto"/>
        <w:jc w:val="left"/>
        <w:rPr>
          <w:szCs w:val="22"/>
        </w:rPr>
      </w:pPr>
      <w:r>
        <w:rPr>
          <w:szCs w:val="22"/>
        </w:rPr>
        <w:t>2．</w:t>
      </w:r>
      <w:r>
        <w:rPr>
          <w:color w:val="FF0000"/>
          <w:szCs w:val="22"/>
        </w:rPr>
        <w:t>（2022·安徽蚌埠·统考模拟预测）</w:t>
      </w:r>
      <w:r>
        <w:rPr>
          <w:szCs w:val="22"/>
        </w:rPr>
        <w:t>阅读图文资料，完成下列要求。</w:t>
      </w:r>
    </w:p>
    <w:p>
      <w:pPr>
        <w:shd w:val="clear" w:color="auto" w:fill="auto"/>
        <w:spacing w:line="360" w:lineRule="auto"/>
        <w:ind w:firstLine="420"/>
        <w:jc w:val="left"/>
        <w:rPr>
          <w:rFonts w:ascii="楷体" w:hAnsi="楷体" w:eastAsia="楷体" w:cs="楷体"/>
          <w:szCs w:val="22"/>
        </w:rPr>
      </w:pPr>
      <w:r>
        <w:rPr>
          <w:rFonts w:ascii="楷体" w:hAnsi="楷体" w:eastAsia="楷体" w:cs="楷体"/>
          <w:szCs w:val="22"/>
        </w:rPr>
        <w:t>冰壶是冬季奥运会的代表项目。冰壶由花岗岩制作而成，具有抗撞击，质地坚硬，物质成分均匀，矿物颗粒较细，致密，不透水的特点。制作国际比赛使用冰壶主要产自英国苏格兰艾尔萨克雷格岛和北威尔士，其中艾尔萨克雷格岛出产的冰壶占总量60％-70％。该岛花岗岩石英含量非常低且吸水性很弱。从1560年起，某冰壶厂拥有艾尔萨克雷格岛独家开采权。制作冰壶需经历原石开采、塑形、抛光等环节。除了原石开采使用机械外，其他环节均由手工完成。国际比赛使用冰壶每只价格在12000元左右人民币。我国黑龙江亚沟所产花岗岩与艾尔萨克雷格岛花岗岩比较相似，但用亚沟花岗岩制作比赛使用冰壶较少。下图为艾尔萨克雷格岛景观和冰壶。</w:t>
      </w:r>
    </w:p>
    <w:p>
      <w:pPr>
        <w:shd w:val="clear" w:color="auto" w:fill="auto"/>
        <w:spacing w:line="360" w:lineRule="auto"/>
        <w:jc w:val="left"/>
        <w:rPr>
          <w:szCs w:val="22"/>
        </w:rPr>
      </w:pPr>
      <w:r>
        <w:rPr>
          <w:szCs w:val="22"/>
        </w:rPr>
        <w:drawing>
          <wp:inline distT="0" distB="0" distL="114300" distR="114300">
            <wp:extent cx="4886325" cy="1590675"/>
            <wp:effectExtent l="0" t="0" r="317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3"/>
                    <a:stretch>
                      <a:fillRect/>
                    </a:stretch>
                  </pic:blipFill>
                  <pic:spPr>
                    <a:xfrm>
                      <a:off x="0" y="0"/>
                      <a:ext cx="4886325" cy="1590675"/>
                    </a:xfrm>
                    <a:prstGeom prst="rect">
                      <a:avLst/>
                    </a:prstGeom>
                  </pic:spPr>
                </pic:pic>
              </a:graphicData>
            </a:graphic>
          </wp:inline>
        </w:drawing>
      </w:r>
    </w:p>
    <w:p>
      <w:pPr>
        <w:numPr>
          <w:ilvl w:val="0"/>
          <w:numId w:val="2"/>
        </w:numPr>
        <w:shd w:val="clear" w:color="auto" w:fill="auto"/>
        <w:spacing w:line="360" w:lineRule="auto"/>
        <w:jc w:val="left"/>
        <w:rPr>
          <w:szCs w:val="22"/>
        </w:rPr>
      </w:pPr>
      <w:r>
        <w:rPr>
          <w:szCs w:val="22"/>
        </w:rPr>
        <w:t>推测艾尔萨克雷格岛花岗岩出露的地质过程。</w:t>
      </w: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shd w:val="clear" w:color="auto" w:fill="F2F2F2"/>
        <w:spacing w:line="360" w:lineRule="auto"/>
        <w:jc w:val="left"/>
        <w:rPr>
          <w:color w:val="FF0000"/>
          <w:szCs w:val="22"/>
        </w:rPr>
      </w:pPr>
      <w:r>
        <w:rPr>
          <w:color w:val="FF0000"/>
          <w:szCs w:val="22"/>
        </w:rPr>
        <w:t>【答案】(1)岩浆侵入岩石圈上部，冷凝形成花岗岩；随着火山活动、地壳运动，岛屿抬升出海面；在外力作用下，花岗岩逐渐出露地表。</w:t>
      </w:r>
    </w:p>
    <w:p>
      <w:pPr>
        <w:shd w:val="clear" w:color="auto" w:fill="F2F2F2"/>
        <w:spacing w:line="360" w:lineRule="auto"/>
        <w:jc w:val="left"/>
        <w:rPr>
          <w:color w:val="FF0000"/>
          <w:szCs w:val="22"/>
        </w:rPr>
      </w:pPr>
    </w:p>
    <w:p>
      <w:pPr>
        <w:shd w:val="clear" w:color="auto" w:fill="F2F2F2"/>
        <w:spacing w:line="360" w:lineRule="auto"/>
        <w:jc w:val="left"/>
        <w:rPr>
          <w:color w:val="FF0000"/>
          <w:szCs w:val="22"/>
        </w:rPr>
      </w:pPr>
      <w:r>
        <w:rPr>
          <w:color w:val="FF0000"/>
          <w:szCs w:val="22"/>
        </w:rPr>
        <w:t>【分析】</w:t>
      </w:r>
    </w:p>
    <w:p>
      <w:pPr>
        <w:shd w:val="clear" w:color="auto" w:fill="F2F2F2"/>
        <w:spacing w:line="360" w:lineRule="auto"/>
        <w:jc w:val="left"/>
        <w:rPr>
          <w:color w:val="FF0000"/>
          <w:szCs w:val="22"/>
        </w:rPr>
      </w:pPr>
      <w:r>
        <w:rPr>
          <w:color w:val="FF0000"/>
          <w:szCs w:val="22"/>
        </w:rPr>
        <w:t>(1)艾尔萨克雷格岛花岗岩出露的地质过程是内外力作用共同作用的结果。首先，岩浆沿地下裂隙或者通道侵入岩石圈上部，冷却凝固形成质地坚硬的花岗岩；火山活动加剧，不断有花岗岩形成，然后地壳抬升，岛屿抬升出海面，接受外力作用的影响；在外力作用下，周围岩石被侵蚀，花岗岩逐渐出露地表。</w:t>
      </w:r>
    </w:p>
    <w:p>
      <w:pPr>
        <w:shd w:val="clear" w:color="auto" w:fill="auto"/>
        <w:spacing w:line="360" w:lineRule="auto"/>
        <w:jc w:val="left"/>
        <w:rPr>
          <w:szCs w:val="22"/>
        </w:rPr>
      </w:pPr>
      <w:r>
        <w:rPr>
          <w:szCs w:val="22"/>
        </w:rPr>
        <w:t>3．</w:t>
      </w:r>
      <w:r>
        <w:rPr>
          <w:color w:val="FF0000"/>
          <w:szCs w:val="22"/>
        </w:rPr>
        <w:t>（2022·四川内江·统考三模）</w:t>
      </w:r>
      <w:r>
        <w:rPr>
          <w:szCs w:val="22"/>
        </w:rPr>
        <w:t>阅读图文材料，完成下列要求。</w:t>
      </w:r>
    </w:p>
    <w:p>
      <w:pPr>
        <w:shd w:val="clear" w:color="auto" w:fill="auto"/>
        <w:spacing w:line="360" w:lineRule="auto"/>
        <w:ind w:firstLine="420"/>
        <w:jc w:val="left"/>
        <w:rPr>
          <w:rFonts w:ascii="楷体" w:hAnsi="楷体" w:eastAsia="楷体" w:cs="楷体"/>
          <w:szCs w:val="22"/>
        </w:rPr>
      </w:pPr>
      <w:r>
        <w:rPr>
          <w:rFonts w:ascii="楷体" w:hAnsi="楷体" w:eastAsia="楷体" w:cs="楷体"/>
          <w:szCs w:val="22"/>
        </w:rPr>
        <w:t>金属镍是生产不锈钢（占镍用量70%）、合金钢、电动车电池、电镀等的关键原料，红土镍矿集中在南北纬22°以内的岛屿地区。2019年，印尼的探明储量占约全球40%，主要属风化壳型镍矿，在其东部的岛屿沿海地区最多（左图）。右图示意2000-2018年印尼红土镍矿出口量、印尼公司镍产量变化。2020年我国镍消费量约占全球53%。</w:t>
      </w:r>
    </w:p>
    <w:p>
      <w:pPr>
        <w:shd w:val="clear" w:color="auto" w:fill="auto"/>
        <w:spacing w:line="360" w:lineRule="auto"/>
        <w:ind w:firstLine="420"/>
        <w:jc w:val="left"/>
        <w:rPr>
          <w:rFonts w:ascii="楷体" w:hAnsi="楷体" w:eastAsia="楷体" w:cs="楷体"/>
          <w:szCs w:val="22"/>
        </w:rPr>
      </w:pPr>
      <w:r>
        <w:rPr>
          <w:rFonts w:ascii="楷体" w:hAnsi="楷体" w:eastAsia="楷体" w:cs="楷体"/>
          <w:szCs w:val="22"/>
        </w:rPr>
        <w:t>2008年，我国与印尼合作，Q集团在苏拉威西岛投资镍冶炼项目，形成完整产业链；2009年，与当地企业合作，开发4.7万公顷的红土镍矿（与超基性的岩浆岩相关）;2015-2017年，中资企业在印尼掀起镍铁厂建设高潮。</w:t>
      </w:r>
    </w:p>
    <w:p>
      <w:pPr>
        <w:shd w:val="clear" w:color="auto" w:fill="auto"/>
        <w:spacing w:line="360" w:lineRule="auto"/>
        <w:jc w:val="left"/>
        <w:rPr>
          <w:szCs w:val="22"/>
        </w:rPr>
      </w:pPr>
      <w:r>
        <w:rPr>
          <w:szCs w:val="22"/>
        </w:rPr>
        <w:drawing>
          <wp:inline distT="0" distB="0" distL="114300" distR="114300">
            <wp:extent cx="3838575" cy="35718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4"/>
                    <a:stretch>
                      <a:fillRect/>
                    </a:stretch>
                  </pic:blipFill>
                  <pic:spPr>
                    <a:xfrm>
                      <a:off x="0" y="0"/>
                      <a:ext cx="3838575" cy="3571875"/>
                    </a:xfrm>
                    <a:prstGeom prst="rect">
                      <a:avLst/>
                    </a:prstGeom>
                  </pic:spPr>
                </pic:pic>
              </a:graphicData>
            </a:graphic>
          </wp:inline>
        </w:drawing>
      </w:r>
      <w:r>
        <w:rPr>
          <w:szCs w:val="22"/>
        </w:rPr>
        <w:drawing>
          <wp:inline distT="0" distB="0" distL="114300" distR="114300">
            <wp:extent cx="5278120" cy="2202180"/>
            <wp:effectExtent l="0" t="0" r="5080" b="762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5"/>
                    <a:stretch>
                      <a:fillRect/>
                    </a:stretch>
                  </pic:blipFill>
                  <pic:spPr>
                    <a:xfrm>
                      <a:off x="0" y="0"/>
                      <a:ext cx="5278120" cy="2202680"/>
                    </a:xfrm>
                    <a:prstGeom prst="rect">
                      <a:avLst/>
                    </a:prstGeom>
                  </pic:spPr>
                </pic:pic>
              </a:graphicData>
            </a:graphic>
          </wp:inline>
        </w:drawing>
      </w:r>
    </w:p>
    <w:p>
      <w:pPr>
        <w:numPr>
          <w:ilvl w:val="0"/>
          <w:numId w:val="3"/>
        </w:numPr>
        <w:shd w:val="clear" w:color="auto" w:fill="auto"/>
        <w:spacing w:line="360" w:lineRule="auto"/>
        <w:jc w:val="left"/>
        <w:rPr>
          <w:szCs w:val="22"/>
        </w:rPr>
      </w:pPr>
      <w:r>
        <w:rPr>
          <w:szCs w:val="22"/>
        </w:rPr>
        <w:t>简述印尼红土镍矿的形成条件。</w:t>
      </w: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shd w:val="clear" w:color="auto" w:fill="F2F2F2"/>
        <w:spacing w:line="360" w:lineRule="auto"/>
        <w:jc w:val="left"/>
        <w:rPr>
          <w:color w:val="FF0000"/>
          <w:szCs w:val="22"/>
        </w:rPr>
      </w:pPr>
      <w:r>
        <w:rPr>
          <w:color w:val="FF0000"/>
          <w:szCs w:val="22"/>
        </w:rPr>
        <w:t>【答案】(1)在三大板块结合部，强烈的岩浆活动频繁，形成（富含镍的）超基性岩；地壳抬升，断层发育。加速超基性岩风化、剥蚀后出露地表，高温多雨的气候条件下经风化、淋溶（滤）作用，利于镍富集成矿。近海的低山缓坡地形，地下水流缓慢，利于镍富集和沉淀。</w:t>
      </w:r>
    </w:p>
    <w:p>
      <w:pPr>
        <w:shd w:val="clear" w:color="auto" w:fill="F2F2F2"/>
        <w:spacing w:line="360" w:lineRule="auto"/>
        <w:jc w:val="left"/>
        <w:rPr>
          <w:color w:val="FF0000"/>
          <w:szCs w:val="22"/>
        </w:rPr>
      </w:pPr>
      <w:r>
        <w:rPr>
          <w:rFonts w:hint="eastAsia"/>
          <w:color w:val="FF0000"/>
          <w:szCs w:val="22"/>
          <w:lang w:eastAsia="zh-CN"/>
        </w:rPr>
        <w:t>【</w:t>
      </w:r>
      <w:r>
        <w:rPr>
          <w:rFonts w:hint="eastAsia"/>
          <w:color w:val="FF0000"/>
          <w:szCs w:val="22"/>
          <w:lang w:val="en-US" w:eastAsia="zh-CN"/>
        </w:rPr>
        <w:t>解析</w:t>
      </w:r>
      <w:r>
        <w:rPr>
          <w:rFonts w:hint="eastAsia"/>
          <w:color w:val="FF0000"/>
          <w:szCs w:val="22"/>
          <w:lang w:eastAsia="zh-CN"/>
        </w:rPr>
        <w:t>】</w:t>
      </w:r>
      <w:r>
        <w:rPr>
          <w:color w:val="FF0000"/>
          <w:szCs w:val="22"/>
        </w:rPr>
        <w:t>(1)据所学可知，印度尼西亚位于亚欧板块、太平洋板块、印度洋板块的消亡边界上，地壳运动非常的活跃，强烈的岩浆活动频繁，形成富含镍的超基性的岩浆岩；三大板块的碰撞挤压使这里地壳抬升，发育了大的断裂带；富含镍的超基性的岩浆岩抬升至高处，加速了岩石的风化、剥蚀，超基性岩出露地表；在高温多雨的气候条件下，经风化、淋溶（滤）作用利于镍富集成矿；近海的低山缓坡地形，地下水流缓慢，利于镍富集和沉淀。</w:t>
      </w:r>
    </w:p>
    <w:p>
      <w:pPr>
        <w:shd w:val="clear" w:color="auto" w:fill="auto"/>
        <w:spacing w:line="360" w:lineRule="auto"/>
        <w:jc w:val="left"/>
        <w:rPr>
          <w:szCs w:val="22"/>
        </w:rPr>
      </w:pPr>
      <w:r>
        <w:rPr>
          <w:szCs w:val="22"/>
        </w:rPr>
        <w:t>4．（2019·辽宁沈阳·东北育才学校校考一模）阅读图文材料，完成下列要求。</w:t>
      </w:r>
    </w:p>
    <w:p>
      <w:pPr>
        <w:shd w:val="clear" w:color="auto" w:fill="auto"/>
        <w:spacing w:line="360" w:lineRule="auto"/>
        <w:ind w:firstLine="420"/>
        <w:jc w:val="left"/>
        <w:rPr>
          <w:rFonts w:ascii="楷体" w:hAnsi="楷体" w:eastAsia="楷体" w:cs="楷体"/>
          <w:szCs w:val="22"/>
        </w:rPr>
      </w:pPr>
      <w:r>
        <w:rPr>
          <w:rFonts w:ascii="楷体" w:hAnsi="楷体" w:eastAsia="楷体" w:cs="楷体"/>
          <w:szCs w:val="22"/>
        </w:rPr>
        <w:t>地中海沿岸国家盛产大理石（变质岩）。大理石的形成得益于古地中海中沉积的石灰岩。意大利大理石资源丰富、质地优良、分布广泛，开采历史悠久，开采加工技术先进，出口量约占国际市场总贸易量的一半，有“大理石王国”之称。目前意大利在开采本国资源的同时，也大量从周边国家进口荒料（矿山石料开采后的块石原料）</w:t>
      </w:r>
    </w:p>
    <w:p>
      <w:pPr>
        <w:shd w:val="clear" w:color="auto" w:fill="auto"/>
        <w:spacing w:line="360" w:lineRule="auto"/>
        <w:jc w:val="left"/>
        <w:rPr>
          <w:szCs w:val="22"/>
        </w:rPr>
      </w:pPr>
      <w:r>
        <w:rPr>
          <w:szCs w:val="22"/>
        </w:rPr>
        <w:drawing>
          <wp:inline distT="0" distB="0" distL="114300" distR="114300">
            <wp:extent cx="3333750" cy="1733550"/>
            <wp:effectExtent l="0" t="0" r="6350" b="635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6"/>
                    <a:stretch>
                      <a:fillRect/>
                    </a:stretch>
                  </pic:blipFill>
                  <pic:spPr>
                    <a:xfrm>
                      <a:off x="0" y="0"/>
                      <a:ext cx="3333750" cy="1733550"/>
                    </a:xfrm>
                    <a:prstGeom prst="rect">
                      <a:avLst/>
                    </a:prstGeom>
                  </pic:spPr>
                </pic:pic>
              </a:graphicData>
            </a:graphic>
          </wp:inline>
        </w:drawing>
      </w:r>
    </w:p>
    <w:p>
      <w:pPr>
        <w:numPr>
          <w:ilvl w:val="0"/>
          <w:numId w:val="4"/>
        </w:numPr>
        <w:shd w:val="clear" w:color="auto" w:fill="auto"/>
        <w:spacing w:line="360" w:lineRule="auto"/>
        <w:jc w:val="left"/>
        <w:rPr>
          <w:szCs w:val="22"/>
        </w:rPr>
      </w:pPr>
      <w:r>
        <w:rPr>
          <w:szCs w:val="22"/>
        </w:rPr>
        <w:t>请从内外力作用角度，说明地中海沿岸地区形成丰富大理石矿藏的地质过程。</w:t>
      </w: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widowControl w:val="0"/>
        <w:numPr>
          <w:ilvl w:val="0"/>
          <w:numId w:val="0"/>
        </w:numPr>
        <w:shd w:val="clear" w:color="auto" w:fill="auto"/>
        <w:spacing w:line="360" w:lineRule="auto"/>
        <w:jc w:val="left"/>
        <w:rPr>
          <w:szCs w:val="22"/>
        </w:rPr>
      </w:pPr>
    </w:p>
    <w:p>
      <w:pPr>
        <w:shd w:val="clear" w:color="auto" w:fill="F2F2F2"/>
        <w:spacing w:line="360" w:lineRule="auto"/>
        <w:jc w:val="left"/>
        <w:rPr>
          <w:color w:val="FF0000"/>
          <w:szCs w:val="22"/>
        </w:rPr>
      </w:pPr>
      <w:r>
        <w:rPr>
          <w:color w:val="FF0000"/>
          <w:szCs w:val="22"/>
        </w:rPr>
        <w:t>【答案】(1)古地中海地区经长期沉积作用形成石灰岩；地中海沿岸地处板块交界处，岩浆活动强烈；石灰岩在高温、高压条件下变质成为大理岩；地壳运动使地层隆起抬升；上覆岩层受外力侵蚀，大理岩接近或出露地表。</w:t>
      </w:r>
    </w:p>
    <w:p>
      <w:pPr>
        <w:shd w:val="clear" w:color="auto" w:fill="F2F2F2"/>
        <w:spacing w:line="360" w:lineRule="auto"/>
        <w:jc w:val="left"/>
        <w:rPr>
          <w:color w:val="FF0000"/>
          <w:szCs w:val="22"/>
        </w:rPr>
      </w:pPr>
    </w:p>
    <w:p>
      <w:pPr>
        <w:shd w:val="clear" w:color="auto" w:fill="F2F2F2"/>
        <w:spacing w:line="360" w:lineRule="auto"/>
        <w:jc w:val="left"/>
        <w:rPr>
          <w:color w:val="FF0000"/>
          <w:szCs w:val="22"/>
        </w:rPr>
      </w:pPr>
      <w:r>
        <w:rPr>
          <w:color w:val="FF0000"/>
          <w:szCs w:val="22"/>
        </w:rPr>
        <w:t>【分析】（1）结合材料信息，大理石的形成得益于古地中海中沉积的石灰岩，大理石为沉积岩变质而成，说明此处经历过沉积作用、变质作用和地壳抬升过程。 石灰岩是古地中海地区长期沉积作用形成，石灰岩转化成大理岩需高温高压条件，结合地中海所处位置，位于亚欧板块与非洲板块交界地带，地壳运动活跃，岩浆活动强烈，石灰岩易发生变质形成大理岩，后期经历地壳隆起抬升，上层覆盖岩层被侵蚀，大理石接近或出露地表。</w:t>
      </w:r>
    </w:p>
    <w:p>
      <w:pPr>
        <w:shd w:val="clear" w:color="auto" w:fill="F2F2F2"/>
        <w:spacing w:line="360" w:lineRule="auto"/>
        <w:jc w:val="left"/>
        <w:rPr>
          <w:szCs w:val="22"/>
        </w:rPr>
      </w:pPr>
    </w:p>
    <w:p>
      <w:pPr>
        <w:rPr>
          <w:rFonts w:hint="eastAsia"/>
          <w:lang w:val="en-US" w:eastAsia="zh-CN"/>
        </w:rPr>
        <w:sectPr>
          <w:headerReference r:id="rId3" w:type="default"/>
          <w:footerReference r:id="rId4" w:type="default"/>
          <w:pgSz w:w="11906" w:h="16838"/>
          <w:pgMar w:top="1417" w:right="1077" w:bottom="1417" w:left="1077" w:header="850" w:footer="992" w:gutter="0"/>
          <w:pgBorders>
            <w:top w:val="none" w:sz="0" w:space="0"/>
            <w:left w:val="none" w:sz="0" w:space="0"/>
            <w:bottom w:val="none" w:sz="0" w:space="0"/>
            <w:right w:val="none" w:sz="0" w:space="0"/>
          </w:pgBorders>
          <w:cols w:space="425" w:num="1"/>
          <w:docGrid w:type="lines" w:linePitch="318" w:charSpace="409"/>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B7DBFF"/>
    <w:multiLevelType w:val="singleLevel"/>
    <w:tmpl w:val="DDB7DBFF"/>
    <w:lvl w:ilvl="0" w:tentative="0">
      <w:start w:val="1"/>
      <w:numFmt w:val="decimal"/>
      <w:lvlText w:val="(%1)"/>
      <w:lvlJc w:val="left"/>
      <w:pPr>
        <w:tabs>
          <w:tab w:val="left" w:pos="312"/>
        </w:tabs>
      </w:pPr>
    </w:lvl>
  </w:abstractNum>
  <w:abstractNum w:abstractNumId="1">
    <w:nsid w:val="1DC5A2C7"/>
    <w:multiLevelType w:val="singleLevel"/>
    <w:tmpl w:val="1DC5A2C7"/>
    <w:lvl w:ilvl="0" w:tentative="0">
      <w:start w:val="1"/>
      <w:numFmt w:val="decimal"/>
      <w:lvlText w:val="(%1)"/>
      <w:lvlJc w:val="left"/>
      <w:pPr>
        <w:tabs>
          <w:tab w:val="left" w:pos="312"/>
        </w:tabs>
      </w:pPr>
    </w:lvl>
  </w:abstractNum>
  <w:abstractNum w:abstractNumId="2">
    <w:nsid w:val="1FFCB62C"/>
    <w:multiLevelType w:val="singleLevel"/>
    <w:tmpl w:val="1FFCB62C"/>
    <w:lvl w:ilvl="0" w:tentative="0">
      <w:start w:val="1"/>
      <w:numFmt w:val="decimal"/>
      <w:lvlText w:val="(%1)"/>
      <w:lvlJc w:val="left"/>
      <w:pPr>
        <w:tabs>
          <w:tab w:val="left" w:pos="312"/>
        </w:tabs>
      </w:pPr>
    </w:lvl>
  </w:abstractNum>
  <w:abstractNum w:abstractNumId="3">
    <w:nsid w:val="2BD86E18"/>
    <w:multiLevelType w:val="singleLevel"/>
    <w:tmpl w:val="2BD86E18"/>
    <w:lvl w:ilvl="0" w:tentative="0">
      <w:start w:val="1"/>
      <w:numFmt w:val="decimal"/>
      <w:lvlText w:val="(%1)"/>
      <w:lvlJc w:val="left"/>
      <w:pPr>
        <w:tabs>
          <w:tab w:val="left" w:pos="312"/>
        </w:tabs>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321"/>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0MzE3YjM1M2QwOTIxNmVmNmY1YzA2MmY5NzBjODMifQ=="/>
  </w:docVars>
  <w:rsids>
    <w:rsidRoot w:val="00363227"/>
    <w:rsid w:val="0001360E"/>
    <w:rsid w:val="00041561"/>
    <w:rsid w:val="0004508D"/>
    <w:rsid w:val="00051F46"/>
    <w:rsid w:val="000D38AA"/>
    <w:rsid w:val="000D7007"/>
    <w:rsid w:val="000E4A0D"/>
    <w:rsid w:val="000F11BA"/>
    <w:rsid w:val="001054DD"/>
    <w:rsid w:val="0011493A"/>
    <w:rsid w:val="00146953"/>
    <w:rsid w:val="00154F10"/>
    <w:rsid w:val="002505B9"/>
    <w:rsid w:val="00253DB3"/>
    <w:rsid w:val="0027067E"/>
    <w:rsid w:val="002771D2"/>
    <w:rsid w:val="002D6755"/>
    <w:rsid w:val="002E56FE"/>
    <w:rsid w:val="00346BB9"/>
    <w:rsid w:val="00347F2C"/>
    <w:rsid w:val="00363227"/>
    <w:rsid w:val="003E022F"/>
    <w:rsid w:val="0040402F"/>
    <w:rsid w:val="004151FC"/>
    <w:rsid w:val="00420489"/>
    <w:rsid w:val="0042727D"/>
    <w:rsid w:val="00427DE6"/>
    <w:rsid w:val="0047331D"/>
    <w:rsid w:val="00486104"/>
    <w:rsid w:val="004D1316"/>
    <w:rsid w:val="0056487D"/>
    <w:rsid w:val="005A393C"/>
    <w:rsid w:val="006928E1"/>
    <w:rsid w:val="006E406D"/>
    <w:rsid w:val="008173D8"/>
    <w:rsid w:val="00822EAF"/>
    <w:rsid w:val="0085328A"/>
    <w:rsid w:val="009035F2"/>
    <w:rsid w:val="00913910"/>
    <w:rsid w:val="00920258"/>
    <w:rsid w:val="009516EC"/>
    <w:rsid w:val="00A330E6"/>
    <w:rsid w:val="00A60DB7"/>
    <w:rsid w:val="00AF2726"/>
    <w:rsid w:val="00B205AE"/>
    <w:rsid w:val="00B53292"/>
    <w:rsid w:val="00B91EF0"/>
    <w:rsid w:val="00BF2518"/>
    <w:rsid w:val="00BF4AD7"/>
    <w:rsid w:val="00C02FC6"/>
    <w:rsid w:val="00C2613D"/>
    <w:rsid w:val="00CF38C2"/>
    <w:rsid w:val="00DD0D58"/>
    <w:rsid w:val="00E16FE2"/>
    <w:rsid w:val="00F00734"/>
    <w:rsid w:val="00F04231"/>
    <w:rsid w:val="00FC6041"/>
    <w:rsid w:val="01380FCB"/>
    <w:rsid w:val="022A49B8"/>
    <w:rsid w:val="067526A6"/>
    <w:rsid w:val="0949606C"/>
    <w:rsid w:val="0BF35829"/>
    <w:rsid w:val="0D026C5D"/>
    <w:rsid w:val="0D103128"/>
    <w:rsid w:val="0D3F57BC"/>
    <w:rsid w:val="1063750C"/>
    <w:rsid w:val="108B6991"/>
    <w:rsid w:val="11BC10BA"/>
    <w:rsid w:val="12A52565"/>
    <w:rsid w:val="12CA1FCB"/>
    <w:rsid w:val="139B415C"/>
    <w:rsid w:val="14171240"/>
    <w:rsid w:val="14504752"/>
    <w:rsid w:val="159F6110"/>
    <w:rsid w:val="15F06CBF"/>
    <w:rsid w:val="17E07CF9"/>
    <w:rsid w:val="19E27BFB"/>
    <w:rsid w:val="1B495A57"/>
    <w:rsid w:val="1B506DE6"/>
    <w:rsid w:val="21D544E9"/>
    <w:rsid w:val="26462B2F"/>
    <w:rsid w:val="28173165"/>
    <w:rsid w:val="28A94F07"/>
    <w:rsid w:val="29037B8D"/>
    <w:rsid w:val="29DF44AB"/>
    <w:rsid w:val="2B3109E2"/>
    <w:rsid w:val="2ED63ABB"/>
    <w:rsid w:val="30040FFD"/>
    <w:rsid w:val="314D7BF8"/>
    <w:rsid w:val="31C205E6"/>
    <w:rsid w:val="31F2254D"/>
    <w:rsid w:val="3320052E"/>
    <w:rsid w:val="344D2232"/>
    <w:rsid w:val="34A2025B"/>
    <w:rsid w:val="35092088"/>
    <w:rsid w:val="374750E9"/>
    <w:rsid w:val="37893954"/>
    <w:rsid w:val="39FF6863"/>
    <w:rsid w:val="3AA05B97"/>
    <w:rsid w:val="3C7050E2"/>
    <w:rsid w:val="3DE76FC7"/>
    <w:rsid w:val="3FE802BB"/>
    <w:rsid w:val="40B2457C"/>
    <w:rsid w:val="445F3A72"/>
    <w:rsid w:val="4E3917D8"/>
    <w:rsid w:val="4ECF2F7F"/>
    <w:rsid w:val="4F952A3E"/>
    <w:rsid w:val="54FE2E33"/>
    <w:rsid w:val="556C5FEF"/>
    <w:rsid w:val="55766E6E"/>
    <w:rsid w:val="5D0C4BC1"/>
    <w:rsid w:val="5D5542D5"/>
    <w:rsid w:val="5D6A375C"/>
    <w:rsid w:val="62B85C86"/>
    <w:rsid w:val="64CF659A"/>
    <w:rsid w:val="65972EA6"/>
    <w:rsid w:val="66DE0D17"/>
    <w:rsid w:val="685079F2"/>
    <w:rsid w:val="6A3A0BC6"/>
    <w:rsid w:val="6C731F01"/>
    <w:rsid w:val="6CAB51F7"/>
    <w:rsid w:val="6DDE33AA"/>
    <w:rsid w:val="71DE606F"/>
    <w:rsid w:val="72A076DF"/>
    <w:rsid w:val="72FD104F"/>
    <w:rsid w:val="74A44224"/>
    <w:rsid w:val="78B673FD"/>
    <w:rsid w:val="794C1ABF"/>
    <w:rsid w:val="79507852"/>
    <w:rsid w:val="796B468C"/>
    <w:rsid w:val="7A3E3B4E"/>
    <w:rsid w:val="7DEB5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4"/>
    <w:qFormat/>
    <w:uiPriority w:val="0"/>
    <w:rPr>
      <w:rFonts w:ascii="宋体" w:hAnsi="Courier New" w:cs="Courier New"/>
      <w:szCs w:val="21"/>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qFormat/>
    <w:uiPriority w:val="11"/>
    <w:pPr>
      <w:widowControl w:val="0"/>
      <w:spacing w:before="240" w:beforeAutospacing="0" w:after="60" w:afterAutospacing="0" w:line="312" w:lineRule="auto"/>
      <w:jc w:val="center"/>
      <w:outlineLvl w:val="1"/>
    </w:pPr>
    <w:rPr>
      <w:rFonts w:ascii="等线 Light" w:hAnsi="等线 Light" w:eastAsia="宋体" w:cs="Times New Roman"/>
      <w:b/>
      <w:bCs/>
      <w:kern w:val="28"/>
      <w:sz w:val="32"/>
      <w:szCs w:val="32"/>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10">
    <w:name w:val="Hyperlink"/>
    <w:basedOn w:val="9"/>
    <w:semiHidden/>
    <w:unhideWhenUsed/>
    <w:qFormat/>
    <w:uiPriority w:val="99"/>
    <w:rPr>
      <w:color w:val="0000FF"/>
      <w:u w:val="single"/>
    </w:rPr>
  </w:style>
  <w:style w:type="character" w:customStyle="1" w:styleId="11">
    <w:name w:val="页眉 Char"/>
    <w:basedOn w:val="9"/>
    <w:link w:val="5"/>
    <w:qFormat/>
    <w:uiPriority w:val="99"/>
    <w:rPr>
      <w:sz w:val="18"/>
      <w:szCs w:val="18"/>
    </w:rPr>
  </w:style>
  <w:style w:type="character" w:customStyle="1" w:styleId="12">
    <w:name w:val="页脚 Char"/>
    <w:basedOn w:val="9"/>
    <w:link w:val="4"/>
    <w:qFormat/>
    <w:uiPriority w:val="99"/>
    <w:rPr>
      <w:sz w:val="18"/>
      <w:szCs w:val="18"/>
    </w:rPr>
  </w:style>
  <w:style w:type="character" w:customStyle="1" w:styleId="13">
    <w:name w:val="批注框文本 Char"/>
    <w:basedOn w:val="9"/>
    <w:link w:val="3"/>
    <w:semiHidden/>
    <w:qFormat/>
    <w:uiPriority w:val="99"/>
    <w:rPr>
      <w:sz w:val="18"/>
      <w:szCs w:val="18"/>
    </w:rPr>
  </w:style>
  <w:style w:type="character" w:customStyle="1" w:styleId="14">
    <w:name w:val="纯文本 Char"/>
    <w:basedOn w:val="9"/>
    <w:link w:val="2"/>
    <w:qFormat/>
    <w:uiPriority w:val="0"/>
    <w:rPr>
      <w:rFonts w:ascii="宋体" w:hAnsi="Courier New" w:eastAsia="宋体" w:cs="Courier New"/>
      <w:szCs w:val="21"/>
    </w:rPr>
  </w:style>
  <w:style w:type="paragraph" w:customStyle="1" w:styleId="15">
    <w:name w:val="正文_0"/>
    <w:qFormat/>
    <w:uiPriority w:val="0"/>
    <w:pPr>
      <w:widowControl w:val="0"/>
      <w:spacing w:before="0" w:beforeAutospacing="0" w:after="0" w:afterAutospacing="0" w:line="240" w:lineRule="auto"/>
      <w:jc w:val="both"/>
    </w:pPr>
    <w:rPr>
      <w:rFonts w:ascii="Calibri" w:hAnsi="Calibri" w:eastAsia="宋体" w:cs="Times New Roman"/>
      <w:kern w:val="2"/>
      <w:sz w:val="21"/>
      <w:szCs w:val="22"/>
      <w:lang w:val="en-US" w:eastAsia="zh-CN" w:bidi="ar-SA"/>
    </w:rPr>
  </w:style>
  <w:style w:type="paragraph" w:customStyle="1" w:styleId="16">
    <w:name w:val="正文22"/>
    <w:qFormat/>
    <w:uiPriority w:val="0"/>
    <w:pPr>
      <w:widowControl w:val="0"/>
      <w:tabs>
        <w:tab w:val="left" w:pos="4111"/>
      </w:tabs>
      <w:adjustRightInd w:val="0"/>
      <w:snapToGrid w:val="0"/>
      <w:spacing w:line="360" w:lineRule="auto"/>
      <w:jc w:val="both"/>
    </w:pPr>
    <w:rPr>
      <w:rFonts w:ascii="Times New Roman" w:hAnsi="Times New Roman" w:eastAsia="宋体" w:cs="Times New Roman"/>
      <w:color w:val="0D0D0D" w:themeColor="text1" w:themeTint="F2"/>
      <w:kern w:val="2"/>
      <w:sz w:val="21"/>
      <w:szCs w:val="21"/>
      <w:lang w:val="en-US" w:eastAsia="zh-CN" w:bidi="ar-SA"/>
      <w14:textFill>
        <w14:solidFill>
          <w14:schemeClr w14:val="tx1">
            <w14:lumMod w14:val="95000"/>
            <w14:lumOff w14:val="5000"/>
          </w14:schemeClr>
        </w14:solidFill>
      </w14:textFill>
    </w:rPr>
  </w:style>
  <w:style w:type="paragraph" w:styleId="17">
    <w:name w:val="List Paragraph"/>
    <w:qFormat/>
    <w:uiPriority w:val="34"/>
    <w:pPr>
      <w:widowControl w:val="0"/>
      <w:ind w:firstLine="420" w:firstLineChars="20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914</Words>
  <Characters>926</Characters>
  <Lines>12</Lines>
  <Paragraphs>3</Paragraphs>
  <TotalTime>1</TotalTime>
  <ScaleCrop>false</ScaleCrop>
  <LinksUpToDate>false</LinksUpToDate>
  <CharactersWithSpaces>934</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jiaming</cp:lastModifiedBy>
  <dcterms:modified xsi:type="dcterms:W3CDTF">2023-02-05T00:39:56Z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D8BC56365CC64BF18D9D7409C6CEB772</vt:lpwstr>
  </property>
</Properties>
</file>